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280" w:rsidRDefault="00D87280" w:rsidP="009707A7">
      <w:pPr>
        <w:pStyle w:val="Default"/>
        <w:rPr>
          <w:rFonts w:asciiTheme="minorHAnsi" w:hAnsiTheme="minorHAnsi"/>
          <w:color w:val="auto"/>
          <w:sz w:val="22"/>
          <w:szCs w:val="22"/>
        </w:rPr>
      </w:pPr>
    </w:p>
    <w:p w:rsidR="009707A7" w:rsidRPr="009707A7" w:rsidRDefault="009707A7" w:rsidP="009707A7">
      <w:pPr>
        <w:pStyle w:val="Default"/>
        <w:rPr>
          <w:rFonts w:asciiTheme="minorHAnsi" w:hAnsiTheme="minorHAnsi"/>
          <w:color w:val="auto"/>
          <w:sz w:val="22"/>
          <w:szCs w:val="22"/>
        </w:rPr>
      </w:pPr>
      <w:r w:rsidRPr="009707A7">
        <w:rPr>
          <w:rFonts w:asciiTheme="minorHAnsi" w:hAnsiTheme="minorHAnsi"/>
          <w:color w:val="auto"/>
          <w:sz w:val="22"/>
          <w:szCs w:val="22"/>
        </w:rPr>
        <w:t>The BEL Faculty New Staff Research Start-Up Fund (NSRSF) is a means by which the Faculty provides resources to new staff to assist them in initiating their research endeavours at the University of Queensland. The general aims of the Scheme are:</w:t>
      </w:r>
      <w:r w:rsidR="00D87280">
        <w:rPr>
          <w:rFonts w:asciiTheme="minorHAnsi" w:hAnsiTheme="minorHAnsi"/>
          <w:color w:val="auto"/>
          <w:sz w:val="22"/>
          <w:szCs w:val="22"/>
        </w:rPr>
        <w:br/>
      </w:r>
    </w:p>
    <w:p w:rsidR="009707A7" w:rsidRPr="009707A7" w:rsidRDefault="009707A7" w:rsidP="009707A7">
      <w:pPr>
        <w:pStyle w:val="Default"/>
        <w:spacing w:after="18"/>
        <w:ind w:firstLine="720"/>
        <w:rPr>
          <w:rFonts w:asciiTheme="minorHAnsi" w:hAnsiTheme="minorHAnsi"/>
          <w:color w:val="auto"/>
          <w:sz w:val="22"/>
          <w:szCs w:val="22"/>
        </w:rPr>
      </w:pPr>
      <w:r w:rsidRPr="009707A7">
        <w:rPr>
          <w:rFonts w:asciiTheme="minorHAnsi" w:hAnsiTheme="minorHAnsi"/>
          <w:color w:val="auto"/>
          <w:sz w:val="22"/>
          <w:szCs w:val="22"/>
        </w:rPr>
        <w:t xml:space="preserve">a) to encourage new members of staff to develop an independent research project </w:t>
      </w:r>
    </w:p>
    <w:p w:rsidR="009707A7" w:rsidRPr="009707A7" w:rsidRDefault="009707A7" w:rsidP="009707A7">
      <w:pPr>
        <w:pStyle w:val="Default"/>
        <w:ind w:left="720"/>
        <w:rPr>
          <w:rFonts w:asciiTheme="minorHAnsi" w:hAnsiTheme="minorHAnsi"/>
          <w:color w:val="auto"/>
          <w:sz w:val="22"/>
          <w:szCs w:val="22"/>
        </w:rPr>
      </w:pPr>
      <w:r w:rsidRPr="009707A7">
        <w:rPr>
          <w:rFonts w:asciiTheme="minorHAnsi" w:hAnsiTheme="minorHAnsi"/>
          <w:color w:val="auto"/>
          <w:sz w:val="22"/>
          <w:szCs w:val="22"/>
        </w:rPr>
        <w:t xml:space="preserve">b) to provide limited seed funding </w:t>
      </w:r>
      <w:r w:rsidR="00E47EF0">
        <w:rPr>
          <w:rFonts w:asciiTheme="minorHAnsi" w:hAnsiTheme="minorHAnsi"/>
          <w:color w:val="auto"/>
          <w:sz w:val="22"/>
          <w:szCs w:val="22"/>
        </w:rPr>
        <w:t>for one (1) calendar year</w:t>
      </w:r>
      <w:r w:rsidRPr="009707A7">
        <w:rPr>
          <w:rFonts w:asciiTheme="minorHAnsi" w:hAnsiTheme="minorHAnsi"/>
          <w:color w:val="auto"/>
          <w:sz w:val="22"/>
          <w:szCs w:val="22"/>
        </w:rPr>
        <w:t xml:space="preserve"> as a means of generating future external research support. </w:t>
      </w:r>
    </w:p>
    <w:p w:rsidR="009707A7" w:rsidRPr="009707A7" w:rsidRDefault="009707A7" w:rsidP="009707A7">
      <w:pPr>
        <w:pStyle w:val="Default"/>
        <w:ind w:left="720"/>
        <w:rPr>
          <w:rFonts w:asciiTheme="minorHAnsi" w:hAnsiTheme="minorHAnsi"/>
          <w:color w:val="auto"/>
          <w:sz w:val="22"/>
          <w:szCs w:val="22"/>
        </w:rPr>
      </w:pPr>
    </w:p>
    <w:p w:rsidR="009707A7" w:rsidRPr="009707A7" w:rsidRDefault="009707A7" w:rsidP="009707A7">
      <w:pPr>
        <w:rPr>
          <w:rFonts w:asciiTheme="minorHAnsi" w:hAnsiTheme="minorHAnsi"/>
          <w:sz w:val="22"/>
          <w:szCs w:val="22"/>
        </w:rPr>
      </w:pPr>
      <w:r w:rsidRPr="009707A7">
        <w:rPr>
          <w:rFonts w:asciiTheme="minorHAnsi" w:hAnsiTheme="minorHAnsi"/>
          <w:sz w:val="22"/>
          <w:szCs w:val="22"/>
        </w:rPr>
        <w:t xml:space="preserve">All applicants for the fund are recommended to complete </w:t>
      </w:r>
      <w:r w:rsidRPr="009707A7">
        <w:rPr>
          <w:rFonts w:asciiTheme="minorHAnsi" w:hAnsiTheme="minorHAnsi"/>
          <w:color w:val="000000" w:themeColor="text1"/>
          <w:sz w:val="22"/>
          <w:szCs w:val="22"/>
        </w:rPr>
        <w:t xml:space="preserve">their application within 12 weeks of commencement at UQ.  </w:t>
      </w:r>
      <w:r w:rsidRPr="009707A7">
        <w:rPr>
          <w:rFonts w:asciiTheme="minorHAnsi" w:hAnsiTheme="minorHAnsi"/>
          <w:sz w:val="22"/>
          <w:szCs w:val="22"/>
        </w:rPr>
        <w:t xml:space="preserve">As part of this application they are required to detail which calendar year they are intending to commence the use of the funds. One reason for this is that there is no carry forward of funding between years. </w:t>
      </w:r>
    </w:p>
    <w:p w:rsidR="009707A7" w:rsidRPr="009707A7" w:rsidRDefault="009707A7" w:rsidP="009707A7">
      <w:pPr>
        <w:rPr>
          <w:rFonts w:asciiTheme="minorHAnsi" w:hAnsiTheme="minorHAnsi"/>
          <w:sz w:val="22"/>
          <w:szCs w:val="22"/>
        </w:rPr>
      </w:pPr>
    </w:p>
    <w:p w:rsidR="009707A7" w:rsidRPr="009707A7" w:rsidRDefault="009707A7" w:rsidP="009707A7">
      <w:pPr>
        <w:rPr>
          <w:rFonts w:asciiTheme="minorHAnsi" w:hAnsiTheme="minorHAnsi"/>
          <w:sz w:val="22"/>
          <w:szCs w:val="22"/>
        </w:rPr>
      </w:pPr>
      <w:r w:rsidRPr="009707A7">
        <w:rPr>
          <w:rFonts w:asciiTheme="minorHAnsi" w:hAnsiTheme="minorHAnsi"/>
          <w:sz w:val="22"/>
          <w:szCs w:val="22"/>
        </w:rPr>
        <w:t xml:space="preserve">If you are commencing within the second half of a year and don’t anticipate that you will be able to spend the funds by the end of the year, we recommend that you request the funds be provided in the following year. If you have not spent all of the funds by the end of a year, they will no longer be available in the following year. </w:t>
      </w:r>
    </w:p>
    <w:p w:rsidR="009707A7" w:rsidRPr="009707A7" w:rsidRDefault="009707A7" w:rsidP="009707A7">
      <w:pPr>
        <w:rPr>
          <w:rFonts w:asciiTheme="minorHAnsi" w:hAnsiTheme="minorHAnsi"/>
          <w:sz w:val="22"/>
          <w:szCs w:val="22"/>
        </w:rPr>
      </w:pPr>
    </w:p>
    <w:p w:rsidR="009707A7" w:rsidRPr="009707A7" w:rsidRDefault="009707A7" w:rsidP="009707A7">
      <w:pPr>
        <w:autoSpaceDE w:val="0"/>
        <w:autoSpaceDN w:val="0"/>
        <w:adjustRightInd w:val="0"/>
        <w:jc w:val="both"/>
        <w:rPr>
          <w:rFonts w:asciiTheme="minorHAnsi" w:hAnsiTheme="minorHAnsi" w:cs="Arial"/>
          <w:sz w:val="22"/>
          <w:szCs w:val="22"/>
        </w:rPr>
      </w:pPr>
      <w:r w:rsidRPr="009707A7">
        <w:rPr>
          <w:rFonts w:asciiTheme="minorHAnsi" w:hAnsiTheme="minorHAnsi"/>
          <w:sz w:val="22"/>
          <w:szCs w:val="22"/>
        </w:rPr>
        <w:t xml:space="preserve">The grant is to support the future research effort of BEL or UQ. Therefore, access to the grant funding will cease immediately upon notice of a researcher’s resignation or notice of any lengthy departure from UQ (e.g. leave without pay). </w:t>
      </w:r>
    </w:p>
    <w:p w:rsidR="009707A7" w:rsidRPr="00D96375" w:rsidRDefault="009707A7" w:rsidP="009707A7">
      <w:pPr>
        <w:pStyle w:val="2UQBELSubHeading"/>
        <w:ind w:right="-8"/>
        <w:rPr>
          <w:rFonts w:asciiTheme="minorHAnsi" w:hAnsiTheme="minorHAnsi"/>
          <w:sz w:val="24"/>
        </w:rPr>
      </w:pPr>
      <w:r>
        <w:rPr>
          <w:rFonts w:asciiTheme="minorHAnsi" w:hAnsiTheme="minorHAnsi"/>
          <w:sz w:val="24"/>
        </w:rPr>
        <w:t>Procedure</w:t>
      </w:r>
    </w:p>
    <w:p w:rsidR="009707A7" w:rsidRPr="009707A7" w:rsidRDefault="009707A7" w:rsidP="009707A7">
      <w:pPr>
        <w:pStyle w:val="Default"/>
        <w:numPr>
          <w:ilvl w:val="0"/>
          <w:numId w:val="3"/>
        </w:numPr>
        <w:rPr>
          <w:rFonts w:asciiTheme="minorHAnsi" w:hAnsiTheme="minorHAnsi"/>
          <w:color w:val="000000" w:themeColor="text1"/>
          <w:sz w:val="22"/>
          <w:szCs w:val="22"/>
        </w:rPr>
      </w:pPr>
      <w:r w:rsidRPr="009707A7">
        <w:rPr>
          <w:rFonts w:asciiTheme="minorHAnsi" w:hAnsiTheme="minorHAnsi"/>
          <w:color w:val="000000" w:themeColor="text1"/>
          <w:sz w:val="22"/>
          <w:szCs w:val="22"/>
        </w:rPr>
        <w:t>Apply within 12 weeks of commencement at UQ</w:t>
      </w:r>
      <w:r w:rsidR="00D87280">
        <w:rPr>
          <w:rFonts w:asciiTheme="minorHAnsi" w:hAnsiTheme="minorHAnsi"/>
          <w:color w:val="000000" w:themeColor="text1"/>
          <w:sz w:val="22"/>
          <w:szCs w:val="22"/>
        </w:rPr>
        <w:t>.</w:t>
      </w:r>
    </w:p>
    <w:p w:rsidR="009707A7" w:rsidRPr="009707A7" w:rsidRDefault="009707A7" w:rsidP="009707A7">
      <w:pPr>
        <w:pStyle w:val="Default"/>
        <w:numPr>
          <w:ilvl w:val="0"/>
          <w:numId w:val="3"/>
        </w:numPr>
        <w:rPr>
          <w:rFonts w:asciiTheme="minorHAnsi" w:hAnsiTheme="minorHAnsi"/>
          <w:color w:val="auto"/>
          <w:sz w:val="22"/>
          <w:szCs w:val="22"/>
        </w:rPr>
      </w:pPr>
      <w:r w:rsidRPr="009707A7">
        <w:rPr>
          <w:rFonts w:asciiTheme="minorHAnsi" w:hAnsiTheme="minorHAnsi"/>
          <w:color w:val="auto"/>
          <w:sz w:val="22"/>
          <w:szCs w:val="22"/>
        </w:rPr>
        <w:t>Nominate in your application in what year the use of the funds will commence</w:t>
      </w:r>
      <w:r w:rsidR="00D87280">
        <w:rPr>
          <w:rFonts w:asciiTheme="minorHAnsi" w:hAnsiTheme="minorHAnsi"/>
          <w:color w:val="auto"/>
          <w:sz w:val="22"/>
          <w:szCs w:val="22"/>
        </w:rPr>
        <w:t>.</w:t>
      </w:r>
    </w:p>
    <w:p w:rsidR="009707A7" w:rsidRPr="009707A7" w:rsidRDefault="009707A7" w:rsidP="009707A7">
      <w:pPr>
        <w:pStyle w:val="ListParagraph"/>
        <w:numPr>
          <w:ilvl w:val="0"/>
          <w:numId w:val="5"/>
        </w:numPr>
        <w:spacing w:after="200"/>
        <w:ind w:left="357" w:hanging="357"/>
        <w:rPr>
          <w:rFonts w:asciiTheme="minorHAnsi" w:hAnsiTheme="minorHAnsi"/>
          <w:sz w:val="22"/>
          <w:szCs w:val="22"/>
        </w:rPr>
      </w:pPr>
      <w:r w:rsidRPr="009707A7">
        <w:rPr>
          <w:rFonts w:asciiTheme="minorHAnsi" w:hAnsiTheme="minorHAnsi"/>
          <w:bCs/>
          <w:sz w:val="22"/>
          <w:szCs w:val="22"/>
        </w:rPr>
        <w:t xml:space="preserve">Submit completed and signed application form to the Office of the Associate Dean (Research), Faculty of Business, Economics and Law, </w:t>
      </w:r>
      <w:r w:rsidR="00D87280">
        <w:rPr>
          <w:rFonts w:asciiTheme="minorHAnsi" w:hAnsiTheme="minorHAnsi"/>
          <w:bCs/>
          <w:sz w:val="22"/>
          <w:szCs w:val="22"/>
        </w:rPr>
        <w:t xml:space="preserve">Level 3, </w:t>
      </w:r>
      <w:r w:rsidRPr="009707A7">
        <w:rPr>
          <w:rFonts w:asciiTheme="minorHAnsi" w:hAnsiTheme="minorHAnsi"/>
          <w:bCs/>
          <w:sz w:val="22"/>
          <w:szCs w:val="22"/>
        </w:rPr>
        <w:t>GPN3 (</w:t>
      </w:r>
      <w:r w:rsidR="00D87280">
        <w:rPr>
          <w:rFonts w:asciiTheme="minorHAnsi" w:hAnsiTheme="minorHAnsi"/>
          <w:bCs/>
          <w:sz w:val="22"/>
          <w:szCs w:val="22"/>
        </w:rPr>
        <w:t>Building #</w:t>
      </w:r>
      <w:r w:rsidRPr="009707A7">
        <w:rPr>
          <w:rFonts w:asciiTheme="minorHAnsi" w:hAnsiTheme="minorHAnsi"/>
          <w:bCs/>
          <w:sz w:val="22"/>
          <w:szCs w:val="22"/>
        </w:rPr>
        <w:t xml:space="preserve">39A), The University of Queensland, St Lucia campus, Brisbane, </w:t>
      </w:r>
      <w:r w:rsidR="00D87280">
        <w:rPr>
          <w:rFonts w:asciiTheme="minorHAnsi" w:hAnsiTheme="minorHAnsi"/>
          <w:bCs/>
          <w:sz w:val="22"/>
          <w:szCs w:val="22"/>
        </w:rPr>
        <w:t xml:space="preserve">Qld. </w:t>
      </w:r>
      <w:r w:rsidRPr="009707A7">
        <w:rPr>
          <w:rFonts w:asciiTheme="minorHAnsi" w:hAnsiTheme="minorHAnsi"/>
          <w:bCs/>
          <w:sz w:val="22"/>
          <w:szCs w:val="22"/>
        </w:rPr>
        <w:t xml:space="preserve">4072. </w:t>
      </w:r>
    </w:p>
    <w:p w:rsidR="009707A7" w:rsidRPr="009707A7" w:rsidRDefault="009707A7" w:rsidP="009707A7">
      <w:pPr>
        <w:pStyle w:val="ListParagraph"/>
        <w:numPr>
          <w:ilvl w:val="0"/>
          <w:numId w:val="5"/>
        </w:numPr>
        <w:spacing w:after="200" w:line="276" w:lineRule="auto"/>
        <w:rPr>
          <w:rFonts w:asciiTheme="minorHAnsi" w:hAnsiTheme="minorHAnsi"/>
          <w:sz w:val="22"/>
          <w:szCs w:val="22"/>
        </w:rPr>
      </w:pPr>
      <w:r w:rsidRPr="009707A7">
        <w:rPr>
          <w:rFonts w:asciiTheme="minorHAnsi" w:hAnsiTheme="minorHAnsi"/>
          <w:bCs/>
          <w:sz w:val="22"/>
          <w:szCs w:val="22"/>
        </w:rPr>
        <w:t>Also submit one identical e-copy to</w:t>
      </w:r>
      <w:r w:rsidR="00D87280">
        <w:rPr>
          <w:rFonts w:asciiTheme="minorHAnsi" w:hAnsiTheme="minorHAnsi"/>
          <w:bCs/>
          <w:sz w:val="22"/>
          <w:szCs w:val="22"/>
        </w:rPr>
        <w:t>:</w:t>
      </w:r>
      <w:r w:rsidRPr="009707A7">
        <w:rPr>
          <w:rFonts w:asciiTheme="minorHAnsi" w:hAnsiTheme="minorHAnsi"/>
          <w:bCs/>
          <w:sz w:val="22"/>
          <w:szCs w:val="22"/>
        </w:rPr>
        <w:t xml:space="preserve"> </w:t>
      </w:r>
      <w:hyperlink r:id="rId8" w:history="1">
        <w:r w:rsidRPr="003B4BA2">
          <w:rPr>
            <w:rStyle w:val="Hyperlink"/>
            <w:rFonts w:asciiTheme="minorHAnsi" w:hAnsiTheme="minorHAnsi"/>
            <w:sz w:val="22"/>
            <w:szCs w:val="22"/>
          </w:rPr>
          <w:t>research@bel.uq.edu.au</w:t>
        </w:r>
      </w:hyperlink>
      <w:r>
        <w:rPr>
          <w:rStyle w:val="Hyperlink"/>
          <w:rFonts w:asciiTheme="minorHAnsi" w:hAnsiTheme="minorHAnsi"/>
          <w:color w:val="000000" w:themeColor="text1"/>
          <w:sz w:val="22"/>
          <w:szCs w:val="22"/>
        </w:rPr>
        <w:t xml:space="preserve"> </w:t>
      </w:r>
    </w:p>
    <w:p w:rsidR="009707A7" w:rsidRPr="009707A7" w:rsidRDefault="009707A7" w:rsidP="009707A7">
      <w:pPr>
        <w:pStyle w:val="Default"/>
        <w:rPr>
          <w:rFonts w:asciiTheme="minorHAnsi" w:hAnsiTheme="minorHAnsi"/>
          <w:b/>
          <w:bCs/>
          <w:color w:val="auto"/>
        </w:rPr>
      </w:pPr>
      <w:r w:rsidRPr="009707A7">
        <w:rPr>
          <w:rFonts w:asciiTheme="minorHAnsi" w:hAnsiTheme="minorHAnsi"/>
          <w:b/>
          <w:bCs/>
          <w:color w:val="auto"/>
        </w:rPr>
        <w:t>S</w:t>
      </w:r>
      <w:r>
        <w:rPr>
          <w:rFonts w:asciiTheme="minorHAnsi" w:hAnsiTheme="minorHAnsi"/>
          <w:b/>
          <w:bCs/>
          <w:color w:val="auto"/>
        </w:rPr>
        <w:t>cheme Operation and Funding</w:t>
      </w:r>
      <w:r w:rsidRPr="009707A7">
        <w:rPr>
          <w:rFonts w:asciiTheme="minorHAnsi" w:hAnsiTheme="minorHAnsi"/>
          <w:b/>
          <w:bCs/>
          <w:color w:val="auto"/>
        </w:rPr>
        <w:t xml:space="preserve"> </w:t>
      </w:r>
      <w:r w:rsidR="00D87280">
        <w:rPr>
          <w:rFonts w:asciiTheme="minorHAnsi" w:hAnsiTheme="minorHAnsi"/>
          <w:b/>
          <w:bCs/>
          <w:color w:val="auto"/>
        </w:rPr>
        <w:br/>
      </w:r>
    </w:p>
    <w:p w:rsidR="00F52C4B" w:rsidRDefault="009707A7" w:rsidP="009707A7">
      <w:pPr>
        <w:pStyle w:val="Default"/>
        <w:numPr>
          <w:ilvl w:val="0"/>
          <w:numId w:val="6"/>
        </w:numPr>
        <w:spacing w:after="13"/>
        <w:rPr>
          <w:rFonts w:asciiTheme="minorHAnsi" w:hAnsiTheme="minorHAnsi"/>
          <w:color w:val="auto"/>
          <w:sz w:val="22"/>
          <w:szCs w:val="22"/>
        </w:rPr>
      </w:pPr>
      <w:r w:rsidRPr="00F52C4B">
        <w:rPr>
          <w:rFonts w:asciiTheme="minorHAnsi" w:hAnsiTheme="minorHAnsi"/>
          <w:color w:val="auto"/>
          <w:sz w:val="22"/>
          <w:szCs w:val="22"/>
        </w:rPr>
        <w:t>The total funding allocated to each project by the BEL Faculty is $</w:t>
      </w:r>
      <w:r w:rsidR="00E47EF0" w:rsidRPr="00F52C4B">
        <w:rPr>
          <w:rFonts w:asciiTheme="minorHAnsi" w:hAnsiTheme="minorHAnsi"/>
          <w:color w:val="auto"/>
          <w:sz w:val="22"/>
          <w:szCs w:val="22"/>
        </w:rPr>
        <w:t>5</w:t>
      </w:r>
      <w:r w:rsidR="00F52C4B">
        <w:rPr>
          <w:rFonts w:asciiTheme="minorHAnsi" w:hAnsiTheme="minorHAnsi"/>
          <w:color w:val="auto"/>
          <w:sz w:val="22"/>
          <w:szCs w:val="22"/>
        </w:rPr>
        <w:t>,000.</w:t>
      </w:r>
    </w:p>
    <w:p w:rsidR="00F52C4B" w:rsidRDefault="00F52C4B" w:rsidP="009707A7">
      <w:pPr>
        <w:pStyle w:val="Default"/>
        <w:numPr>
          <w:ilvl w:val="0"/>
          <w:numId w:val="6"/>
        </w:numPr>
        <w:spacing w:after="13"/>
        <w:rPr>
          <w:rFonts w:asciiTheme="minorHAnsi" w:hAnsiTheme="minorHAnsi"/>
          <w:color w:val="auto"/>
          <w:sz w:val="22"/>
          <w:szCs w:val="22"/>
        </w:rPr>
      </w:pPr>
      <w:r>
        <w:rPr>
          <w:rFonts w:asciiTheme="minorHAnsi" w:hAnsiTheme="minorHAnsi"/>
          <w:color w:val="auto"/>
          <w:sz w:val="22"/>
          <w:szCs w:val="22"/>
        </w:rPr>
        <w:t xml:space="preserve">Travel </w:t>
      </w:r>
      <w:r w:rsidR="00D657FA">
        <w:rPr>
          <w:rFonts w:asciiTheme="minorHAnsi" w:hAnsiTheme="minorHAnsi"/>
          <w:color w:val="auto"/>
          <w:sz w:val="22"/>
          <w:szCs w:val="22"/>
        </w:rPr>
        <w:t>costs</w:t>
      </w:r>
      <w:bookmarkStart w:id="0" w:name="_GoBack"/>
      <w:bookmarkEnd w:id="0"/>
      <w:r w:rsidR="00AB55CC">
        <w:rPr>
          <w:rFonts w:asciiTheme="minorHAnsi" w:hAnsiTheme="minorHAnsi"/>
          <w:color w:val="auto"/>
          <w:sz w:val="22"/>
          <w:szCs w:val="22"/>
        </w:rPr>
        <w:t xml:space="preserve"> c</w:t>
      </w:r>
      <w:r>
        <w:rPr>
          <w:rFonts w:asciiTheme="minorHAnsi" w:hAnsiTheme="minorHAnsi"/>
          <w:color w:val="auto"/>
          <w:sz w:val="22"/>
          <w:szCs w:val="22"/>
        </w:rPr>
        <w:t>annot exceed 50% of the budget.</w:t>
      </w:r>
    </w:p>
    <w:p w:rsidR="009707A7" w:rsidRPr="00F52C4B" w:rsidRDefault="009707A7" w:rsidP="009707A7">
      <w:pPr>
        <w:pStyle w:val="Default"/>
        <w:numPr>
          <w:ilvl w:val="0"/>
          <w:numId w:val="6"/>
        </w:numPr>
        <w:spacing w:after="13"/>
        <w:rPr>
          <w:rFonts w:asciiTheme="minorHAnsi" w:hAnsiTheme="minorHAnsi"/>
          <w:color w:val="auto"/>
          <w:sz w:val="22"/>
          <w:szCs w:val="22"/>
        </w:rPr>
      </w:pPr>
      <w:r w:rsidRPr="00F52C4B">
        <w:rPr>
          <w:rFonts w:asciiTheme="minorHAnsi" w:hAnsiTheme="minorHAnsi"/>
          <w:color w:val="auto"/>
          <w:sz w:val="22"/>
          <w:szCs w:val="22"/>
        </w:rPr>
        <w:t>Funds</w:t>
      </w:r>
      <w:r w:rsidR="00E47EF0" w:rsidRPr="00F52C4B">
        <w:rPr>
          <w:rFonts w:asciiTheme="minorHAnsi" w:hAnsiTheme="minorHAnsi"/>
          <w:color w:val="auto"/>
          <w:sz w:val="22"/>
          <w:szCs w:val="22"/>
        </w:rPr>
        <w:t xml:space="preserve"> allocated of $5,000 </w:t>
      </w:r>
      <w:r w:rsidRPr="00F52C4B">
        <w:rPr>
          <w:rFonts w:asciiTheme="minorHAnsi" w:hAnsiTheme="minorHAnsi"/>
          <w:color w:val="auto"/>
          <w:sz w:val="22"/>
          <w:szCs w:val="22"/>
        </w:rPr>
        <w:t>will be reimbursed via the University’s Funding in Arrears (FIA) process on a quarterly basis</w:t>
      </w:r>
      <w:r w:rsidR="00D87280" w:rsidRPr="00F52C4B">
        <w:rPr>
          <w:rFonts w:asciiTheme="minorHAnsi" w:hAnsiTheme="minorHAnsi"/>
          <w:color w:val="auto"/>
          <w:sz w:val="22"/>
          <w:szCs w:val="22"/>
        </w:rPr>
        <w:t>.</w:t>
      </w:r>
    </w:p>
    <w:p w:rsidR="009707A7" w:rsidRPr="009707A7" w:rsidRDefault="009707A7" w:rsidP="009707A7">
      <w:pPr>
        <w:pStyle w:val="Default"/>
        <w:numPr>
          <w:ilvl w:val="0"/>
          <w:numId w:val="6"/>
        </w:numPr>
        <w:spacing w:after="13"/>
        <w:rPr>
          <w:rFonts w:asciiTheme="minorHAnsi" w:hAnsiTheme="minorHAnsi"/>
          <w:color w:val="auto"/>
          <w:sz w:val="22"/>
          <w:szCs w:val="22"/>
        </w:rPr>
      </w:pPr>
      <w:r w:rsidRPr="009707A7">
        <w:rPr>
          <w:rFonts w:asciiTheme="minorHAnsi" w:hAnsiTheme="minorHAnsi"/>
          <w:color w:val="auto"/>
          <w:sz w:val="22"/>
          <w:szCs w:val="22"/>
        </w:rPr>
        <w:t>The BEL Faculty will manage the setup of the FIA arrangement. Your School’s Finance team will organise the processing of expenditure against a non-research project</w:t>
      </w:r>
      <w:r w:rsidR="00D87280">
        <w:rPr>
          <w:rFonts w:asciiTheme="minorHAnsi" w:hAnsiTheme="minorHAnsi"/>
          <w:color w:val="auto"/>
          <w:sz w:val="22"/>
          <w:szCs w:val="22"/>
        </w:rPr>
        <w:t>.</w:t>
      </w:r>
    </w:p>
    <w:p w:rsidR="009707A7" w:rsidRPr="009707A7" w:rsidRDefault="009707A7" w:rsidP="009707A7">
      <w:pPr>
        <w:pStyle w:val="Default"/>
        <w:numPr>
          <w:ilvl w:val="0"/>
          <w:numId w:val="6"/>
        </w:numPr>
        <w:spacing w:after="13"/>
        <w:rPr>
          <w:rFonts w:asciiTheme="minorHAnsi" w:hAnsiTheme="minorHAnsi"/>
          <w:color w:val="auto"/>
          <w:sz w:val="22"/>
          <w:szCs w:val="22"/>
        </w:rPr>
      </w:pPr>
      <w:r w:rsidRPr="009707A7">
        <w:rPr>
          <w:rFonts w:asciiTheme="minorHAnsi" w:hAnsiTheme="minorHAnsi"/>
          <w:color w:val="auto"/>
          <w:sz w:val="22"/>
          <w:szCs w:val="22"/>
        </w:rPr>
        <w:t>The funds allocated do not count towards the individual’s Q-index.</w:t>
      </w:r>
    </w:p>
    <w:p w:rsidR="009707A7" w:rsidRPr="00824A34" w:rsidRDefault="009707A7" w:rsidP="009707A7">
      <w:pPr>
        <w:pStyle w:val="Default"/>
        <w:rPr>
          <w:color w:val="auto"/>
          <w:sz w:val="20"/>
          <w:szCs w:val="20"/>
        </w:rPr>
      </w:pPr>
      <w:r w:rsidRPr="00824A34">
        <w:rPr>
          <w:color w:val="auto"/>
          <w:sz w:val="20"/>
          <w:szCs w:val="20"/>
        </w:rPr>
        <w:t xml:space="preserve"> </w:t>
      </w:r>
    </w:p>
    <w:p w:rsidR="009707A7" w:rsidRDefault="009707A7" w:rsidP="009707A7">
      <w:pPr>
        <w:pStyle w:val="Default"/>
        <w:rPr>
          <w:color w:val="auto"/>
          <w:sz w:val="20"/>
          <w:szCs w:val="20"/>
        </w:rPr>
      </w:pPr>
      <w:r w:rsidRPr="009707A7">
        <w:rPr>
          <w:rFonts w:asciiTheme="minorHAnsi" w:hAnsiTheme="minorHAnsi"/>
          <w:b/>
          <w:bCs/>
          <w:color w:val="auto"/>
        </w:rPr>
        <w:t>Eligibility Criteria</w:t>
      </w:r>
      <w:r w:rsidR="00D87280">
        <w:rPr>
          <w:rFonts w:asciiTheme="minorHAnsi" w:hAnsiTheme="minorHAnsi"/>
          <w:b/>
          <w:bCs/>
          <w:color w:val="auto"/>
        </w:rPr>
        <w:br/>
      </w:r>
    </w:p>
    <w:p w:rsidR="009707A7" w:rsidRPr="009707A7" w:rsidRDefault="009707A7" w:rsidP="009707A7">
      <w:pPr>
        <w:pStyle w:val="Default"/>
        <w:numPr>
          <w:ilvl w:val="0"/>
          <w:numId w:val="4"/>
        </w:numPr>
        <w:rPr>
          <w:rFonts w:asciiTheme="minorHAnsi" w:hAnsiTheme="minorHAnsi"/>
          <w:color w:val="auto"/>
          <w:sz w:val="22"/>
          <w:szCs w:val="22"/>
        </w:rPr>
      </w:pPr>
      <w:r w:rsidRPr="009707A7">
        <w:rPr>
          <w:rFonts w:asciiTheme="minorHAnsi" w:hAnsiTheme="minorHAnsi"/>
          <w:color w:val="auto"/>
          <w:sz w:val="22"/>
          <w:szCs w:val="22"/>
        </w:rPr>
        <w:t xml:space="preserve">Recipients must hold an eligible University of Queensland salaried appointment. The appointment must meet the following specific criteria: </w:t>
      </w:r>
    </w:p>
    <w:p w:rsidR="009707A7" w:rsidRPr="009707A7" w:rsidRDefault="009707A7" w:rsidP="009707A7">
      <w:pPr>
        <w:pStyle w:val="Default"/>
        <w:spacing w:after="56" w:line="240" w:lineRule="exact"/>
        <w:ind w:left="360" w:firstLine="360"/>
        <w:rPr>
          <w:rFonts w:asciiTheme="minorHAnsi" w:hAnsiTheme="minorHAnsi"/>
          <w:color w:val="auto"/>
          <w:sz w:val="22"/>
          <w:szCs w:val="22"/>
        </w:rPr>
      </w:pPr>
      <w:r w:rsidRPr="009707A7">
        <w:rPr>
          <w:rFonts w:asciiTheme="minorHAnsi" w:hAnsiTheme="minorHAnsi" w:cs="Courier New"/>
          <w:color w:val="auto"/>
          <w:sz w:val="22"/>
          <w:szCs w:val="22"/>
        </w:rPr>
        <w:t xml:space="preserve">- </w:t>
      </w:r>
      <w:r w:rsidRPr="009707A7">
        <w:rPr>
          <w:rFonts w:asciiTheme="minorHAnsi" w:hAnsiTheme="minorHAnsi"/>
          <w:color w:val="auto"/>
          <w:sz w:val="22"/>
          <w:szCs w:val="22"/>
        </w:rPr>
        <w:t xml:space="preserve">must be a </w:t>
      </w:r>
      <w:r w:rsidRPr="009707A7">
        <w:rPr>
          <w:rFonts w:asciiTheme="minorHAnsi" w:hAnsiTheme="minorHAnsi"/>
          <w:bCs/>
          <w:color w:val="auto"/>
          <w:sz w:val="22"/>
          <w:szCs w:val="22"/>
        </w:rPr>
        <w:t xml:space="preserve">Teaching &amp; Research; Research Only or Clinical Academic </w:t>
      </w:r>
      <w:r w:rsidRPr="009707A7">
        <w:rPr>
          <w:rFonts w:asciiTheme="minorHAnsi" w:hAnsiTheme="minorHAnsi"/>
          <w:color w:val="auto"/>
          <w:sz w:val="22"/>
          <w:szCs w:val="22"/>
        </w:rPr>
        <w:t xml:space="preserve">appointment; </w:t>
      </w:r>
    </w:p>
    <w:p w:rsidR="009707A7" w:rsidRPr="009707A7" w:rsidRDefault="009707A7" w:rsidP="009707A7">
      <w:pPr>
        <w:pStyle w:val="Default"/>
        <w:spacing w:after="56" w:line="240" w:lineRule="exact"/>
        <w:ind w:left="360" w:firstLine="360"/>
        <w:rPr>
          <w:rFonts w:asciiTheme="minorHAnsi" w:hAnsiTheme="minorHAnsi"/>
          <w:color w:val="auto"/>
          <w:sz w:val="22"/>
          <w:szCs w:val="22"/>
        </w:rPr>
      </w:pPr>
      <w:r w:rsidRPr="009707A7">
        <w:rPr>
          <w:rFonts w:asciiTheme="minorHAnsi" w:hAnsiTheme="minorHAnsi" w:cs="Courier New"/>
          <w:color w:val="auto"/>
          <w:sz w:val="22"/>
          <w:szCs w:val="22"/>
        </w:rPr>
        <w:t xml:space="preserve">- </w:t>
      </w:r>
      <w:r w:rsidRPr="009707A7">
        <w:rPr>
          <w:rFonts w:asciiTheme="minorHAnsi" w:hAnsiTheme="minorHAnsi"/>
          <w:color w:val="auto"/>
          <w:sz w:val="22"/>
          <w:szCs w:val="22"/>
        </w:rPr>
        <w:t xml:space="preserve">must be </w:t>
      </w:r>
      <w:r w:rsidRPr="009707A7">
        <w:rPr>
          <w:rFonts w:asciiTheme="minorHAnsi" w:hAnsiTheme="minorHAnsi"/>
          <w:bCs/>
          <w:color w:val="auto"/>
          <w:sz w:val="22"/>
          <w:szCs w:val="22"/>
        </w:rPr>
        <w:t xml:space="preserve">at least 0.5FTE </w:t>
      </w:r>
      <w:r w:rsidRPr="009707A7">
        <w:rPr>
          <w:rFonts w:asciiTheme="minorHAnsi" w:hAnsiTheme="minorHAnsi"/>
          <w:color w:val="auto"/>
          <w:sz w:val="22"/>
          <w:szCs w:val="22"/>
        </w:rPr>
        <w:t xml:space="preserve">(full time equivalent); </w:t>
      </w:r>
    </w:p>
    <w:p w:rsidR="00D87280" w:rsidRDefault="009707A7" w:rsidP="00DC750E">
      <w:pPr>
        <w:pStyle w:val="Default"/>
        <w:spacing w:after="56"/>
        <w:ind w:left="720"/>
        <w:rPr>
          <w:rFonts w:asciiTheme="minorHAnsi" w:hAnsiTheme="minorHAnsi"/>
          <w:color w:val="auto"/>
          <w:sz w:val="22"/>
          <w:szCs w:val="22"/>
        </w:rPr>
      </w:pPr>
      <w:r w:rsidRPr="009707A7">
        <w:rPr>
          <w:rFonts w:asciiTheme="minorHAnsi" w:hAnsiTheme="minorHAnsi" w:cs="Courier New"/>
          <w:color w:val="auto"/>
          <w:sz w:val="22"/>
          <w:szCs w:val="22"/>
        </w:rPr>
        <w:lastRenderedPageBreak/>
        <w:t xml:space="preserve">- </w:t>
      </w:r>
      <w:r w:rsidRPr="009707A7">
        <w:rPr>
          <w:rFonts w:asciiTheme="minorHAnsi" w:hAnsiTheme="minorHAnsi"/>
          <w:color w:val="auto"/>
          <w:sz w:val="22"/>
          <w:szCs w:val="22"/>
        </w:rPr>
        <w:t xml:space="preserve">must be for </w:t>
      </w:r>
      <w:r w:rsidRPr="009707A7">
        <w:rPr>
          <w:rFonts w:asciiTheme="minorHAnsi" w:hAnsiTheme="minorHAnsi"/>
          <w:bCs/>
          <w:color w:val="auto"/>
          <w:sz w:val="22"/>
          <w:szCs w:val="22"/>
        </w:rPr>
        <w:t xml:space="preserve">at least a 3 year term </w:t>
      </w:r>
      <w:r w:rsidRPr="009707A7">
        <w:rPr>
          <w:rFonts w:asciiTheme="minorHAnsi" w:hAnsiTheme="minorHAnsi"/>
          <w:color w:val="auto"/>
          <w:sz w:val="22"/>
          <w:szCs w:val="22"/>
        </w:rPr>
        <w:t>(can be a single appointment or a series of shorter back-to-back</w:t>
      </w:r>
      <w:r w:rsidR="00D87280">
        <w:rPr>
          <w:rFonts w:asciiTheme="minorHAnsi" w:hAnsiTheme="minorHAnsi"/>
          <w:color w:val="auto"/>
          <w:sz w:val="22"/>
          <w:szCs w:val="22"/>
        </w:rPr>
        <w:t xml:space="preserve"> appointments </w:t>
      </w:r>
      <w:r w:rsidRPr="009707A7">
        <w:rPr>
          <w:rFonts w:asciiTheme="minorHAnsi" w:hAnsiTheme="minorHAnsi"/>
          <w:color w:val="auto"/>
          <w:sz w:val="22"/>
          <w:szCs w:val="22"/>
        </w:rPr>
        <w:t xml:space="preserve">covering at least a 3 year period, including the grant </w:t>
      </w:r>
      <w:r w:rsidRPr="00D87280">
        <w:rPr>
          <w:rFonts w:asciiTheme="minorHAnsi" w:hAnsiTheme="minorHAnsi"/>
          <w:color w:val="auto"/>
          <w:sz w:val="22"/>
          <w:szCs w:val="22"/>
        </w:rPr>
        <w:t>period);</w:t>
      </w:r>
    </w:p>
    <w:p w:rsidR="009707A7" w:rsidRPr="00D87280" w:rsidRDefault="00D87280" w:rsidP="00DC750E">
      <w:pPr>
        <w:pStyle w:val="Default"/>
        <w:spacing w:after="56"/>
        <w:ind w:left="720"/>
        <w:rPr>
          <w:rFonts w:asciiTheme="minorHAnsi" w:hAnsiTheme="minorHAnsi"/>
          <w:color w:val="auto"/>
          <w:sz w:val="22"/>
          <w:szCs w:val="22"/>
        </w:rPr>
      </w:pPr>
      <w:r>
        <w:rPr>
          <w:rFonts w:asciiTheme="minorHAnsi" w:hAnsiTheme="minorHAnsi"/>
          <w:color w:val="auto"/>
          <w:sz w:val="22"/>
          <w:szCs w:val="22"/>
        </w:rPr>
        <w:t>- must be at Academic Level A, B or C;</w:t>
      </w:r>
      <w:r w:rsidR="009707A7" w:rsidRPr="00D87280">
        <w:rPr>
          <w:rFonts w:asciiTheme="minorHAnsi" w:hAnsiTheme="minorHAnsi"/>
          <w:color w:val="auto"/>
          <w:sz w:val="22"/>
          <w:szCs w:val="22"/>
        </w:rPr>
        <w:t xml:space="preserve"> </w:t>
      </w:r>
    </w:p>
    <w:p w:rsidR="009707A7" w:rsidRPr="009707A7" w:rsidRDefault="009707A7" w:rsidP="00DC750E">
      <w:pPr>
        <w:pStyle w:val="Default"/>
        <w:ind w:left="357" w:firstLine="360"/>
        <w:rPr>
          <w:rFonts w:asciiTheme="minorHAnsi" w:hAnsiTheme="minorHAnsi"/>
          <w:color w:val="auto"/>
          <w:sz w:val="22"/>
          <w:szCs w:val="22"/>
        </w:rPr>
      </w:pPr>
      <w:r w:rsidRPr="009707A7">
        <w:rPr>
          <w:rFonts w:asciiTheme="minorHAnsi" w:hAnsiTheme="minorHAnsi" w:cs="Courier New"/>
          <w:color w:val="auto"/>
          <w:sz w:val="22"/>
          <w:szCs w:val="22"/>
        </w:rPr>
        <w:t xml:space="preserve">- </w:t>
      </w:r>
      <w:r w:rsidRPr="009707A7">
        <w:rPr>
          <w:rFonts w:asciiTheme="minorHAnsi" w:hAnsiTheme="minorHAnsi"/>
          <w:color w:val="auto"/>
          <w:sz w:val="22"/>
          <w:szCs w:val="22"/>
        </w:rPr>
        <w:t xml:space="preserve">the primary appointment must not be an adjunct, academic title or affiliated appointment. </w:t>
      </w:r>
    </w:p>
    <w:p w:rsidR="009707A7" w:rsidRPr="009707A7" w:rsidRDefault="009707A7" w:rsidP="00DC750E">
      <w:pPr>
        <w:pStyle w:val="Default"/>
        <w:numPr>
          <w:ilvl w:val="0"/>
          <w:numId w:val="8"/>
        </w:numPr>
        <w:ind w:left="357"/>
        <w:rPr>
          <w:rFonts w:asciiTheme="minorHAnsi" w:hAnsiTheme="minorHAnsi"/>
          <w:color w:val="auto"/>
          <w:sz w:val="22"/>
          <w:szCs w:val="22"/>
        </w:rPr>
      </w:pPr>
      <w:r w:rsidRPr="009707A7">
        <w:rPr>
          <w:rFonts w:asciiTheme="minorHAnsi" w:hAnsiTheme="minorHAnsi"/>
          <w:color w:val="auto"/>
          <w:sz w:val="22"/>
          <w:szCs w:val="22"/>
        </w:rPr>
        <w:t xml:space="preserve">Recipients must not be taking a period of Long Service Leave or Special Studies Program during the grant period. </w:t>
      </w:r>
    </w:p>
    <w:p w:rsidR="009707A7" w:rsidRPr="009707A7" w:rsidRDefault="009707A7" w:rsidP="009707A7">
      <w:pPr>
        <w:pStyle w:val="Default"/>
        <w:numPr>
          <w:ilvl w:val="0"/>
          <w:numId w:val="8"/>
        </w:numPr>
        <w:rPr>
          <w:rFonts w:asciiTheme="minorHAnsi" w:hAnsiTheme="minorHAnsi"/>
          <w:color w:val="auto"/>
          <w:sz w:val="22"/>
          <w:szCs w:val="22"/>
        </w:rPr>
      </w:pPr>
      <w:r w:rsidRPr="009707A7">
        <w:rPr>
          <w:rFonts w:asciiTheme="minorHAnsi" w:hAnsiTheme="minorHAnsi"/>
          <w:color w:val="auto"/>
          <w:sz w:val="22"/>
          <w:szCs w:val="22"/>
        </w:rPr>
        <w:t xml:space="preserve">Recipients must </w:t>
      </w:r>
      <w:r w:rsidRPr="009707A7">
        <w:rPr>
          <w:rFonts w:asciiTheme="minorHAnsi" w:hAnsiTheme="minorHAnsi"/>
          <w:bCs/>
          <w:color w:val="auto"/>
          <w:sz w:val="22"/>
          <w:szCs w:val="22"/>
        </w:rPr>
        <w:t>not</w:t>
      </w:r>
      <w:r w:rsidRPr="009707A7">
        <w:rPr>
          <w:rFonts w:asciiTheme="minorHAnsi" w:hAnsiTheme="minorHAnsi"/>
          <w:b/>
          <w:bCs/>
          <w:color w:val="auto"/>
          <w:sz w:val="22"/>
          <w:szCs w:val="22"/>
        </w:rPr>
        <w:t xml:space="preserve"> </w:t>
      </w:r>
      <w:r w:rsidRPr="009707A7">
        <w:rPr>
          <w:rFonts w:asciiTheme="minorHAnsi" w:hAnsiTheme="minorHAnsi"/>
          <w:color w:val="auto"/>
          <w:sz w:val="22"/>
          <w:szCs w:val="22"/>
        </w:rPr>
        <w:t xml:space="preserve">have been granted funding under the scheme in previous years. </w:t>
      </w:r>
    </w:p>
    <w:p w:rsidR="009707A7" w:rsidRPr="009707A7" w:rsidRDefault="009707A7" w:rsidP="009707A7">
      <w:pPr>
        <w:pStyle w:val="Default"/>
        <w:numPr>
          <w:ilvl w:val="0"/>
          <w:numId w:val="8"/>
        </w:numPr>
        <w:rPr>
          <w:rFonts w:asciiTheme="minorHAnsi" w:hAnsiTheme="minorHAnsi"/>
          <w:color w:val="auto"/>
          <w:sz w:val="22"/>
          <w:szCs w:val="22"/>
        </w:rPr>
      </w:pPr>
      <w:r w:rsidRPr="009707A7">
        <w:rPr>
          <w:rFonts w:asciiTheme="minorHAnsi" w:hAnsiTheme="minorHAnsi"/>
          <w:color w:val="auto"/>
          <w:sz w:val="22"/>
          <w:szCs w:val="22"/>
        </w:rPr>
        <w:t xml:space="preserve">Recipients must not currently hold or have previously held a UQ Postdoctoral Research Fellowship or UQ Postdoctoral Research Fellowship for Women (UQ Postdoctoral Fellows receive research support funds as part of their award). </w:t>
      </w:r>
    </w:p>
    <w:p w:rsidR="00CC7346" w:rsidRDefault="009707A7" w:rsidP="00CC7346">
      <w:pPr>
        <w:pStyle w:val="Default"/>
        <w:numPr>
          <w:ilvl w:val="0"/>
          <w:numId w:val="7"/>
        </w:numPr>
        <w:rPr>
          <w:rFonts w:asciiTheme="minorHAnsi" w:hAnsiTheme="minorHAnsi"/>
          <w:color w:val="auto"/>
          <w:sz w:val="22"/>
          <w:szCs w:val="22"/>
        </w:rPr>
      </w:pPr>
      <w:r w:rsidRPr="009707A7">
        <w:rPr>
          <w:rFonts w:asciiTheme="minorHAnsi" w:hAnsiTheme="minorHAnsi"/>
          <w:sz w:val="22"/>
          <w:szCs w:val="22"/>
        </w:rPr>
        <w:t xml:space="preserve">When funds are awarded, the applicant must seek UQ ethical clearance (where required) before funds are made available. Successful candidates for the New Staff Research Start-Up Grant will be reminded of the need for ethical clearance and to spend the funds in the same calendar years as indicated in their application. </w:t>
      </w:r>
    </w:p>
    <w:p w:rsidR="00CC7346" w:rsidRDefault="00CC7346" w:rsidP="00CC7346">
      <w:pPr>
        <w:pStyle w:val="Default"/>
        <w:rPr>
          <w:rFonts w:asciiTheme="minorHAnsi" w:hAnsiTheme="minorHAnsi"/>
          <w:color w:val="auto"/>
          <w:sz w:val="22"/>
          <w:szCs w:val="22"/>
        </w:rPr>
      </w:pPr>
    </w:p>
    <w:p w:rsidR="00CC7346" w:rsidRDefault="00CC7346" w:rsidP="00CC7346">
      <w:pPr>
        <w:pStyle w:val="Default"/>
        <w:rPr>
          <w:rFonts w:asciiTheme="minorHAnsi" w:hAnsiTheme="minorHAnsi"/>
          <w:color w:val="auto"/>
          <w:sz w:val="22"/>
          <w:szCs w:val="22"/>
        </w:rPr>
      </w:pPr>
      <w:r>
        <w:rPr>
          <w:rFonts w:asciiTheme="minorHAnsi" w:hAnsiTheme="minorHAnsi"/>
          <w:color w:val="auto"/>
          <w:sz w:val="22"/>
          <w:szCs w:val="22"/>
        </w:rPr>
        <w:br/>
      </w:r>
    </w:p>
    <w:sectPr w:rsidR="00CC7346" w:rsidSect="003D6BA4">
      <w:headerReference w:type="default" r:id="rId9"/>
      <w:footerReference w:type="even" r:id="rId10"/>
      <w:footerReference w:type="default" r:id="rId11"/>
      <w:pgSz w:w="11900" w:h="16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7A7" w:rsidRDefault="009707A7" w:rsidP="002038E6">
      <w:r>
        <w:separator/>
      </w:r>
    </w:p>
  </w:endnote>
  <w:endnote w:type="continuationSeparator" w:id="0">
    <w:p w:rsidR="009707A7" w:rsidRDefault="009707A7" w:rsidP="0020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 55 Roman">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Heavy Heap"/>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6F1" w:rsidRDefault="00DC46F1" w:rsidP="009107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5A80" w:rsidRDefault="00105A80" w:rsidP="00DC46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6F1" w:rsidRPr="00DC46F1" w:rsidRDefault="003D6BA4" w:rsidP="003D6BA4">
    <w:pPr>
      <w:pStyle w:val="Footer"/>
      <w:framePr w:w="694" w:wrap="around" w:vAnchor="text" w:hAnchor="page" w:x="10611" w:y="832"/>
      <w:jc w:val="right"/>
      <w:rPr>
        <w:rStyle w:val="PageNumber"/>
        <w:color w:val="AC8F42"/>
        <w:sz w:val="16"/>
        <w:szCs w:val="16"/>
      </w:rPr>
    </w:pPr>
    <w:r w:rsidRPr="00B71EEA">
      <w:rPr>
        <w:rFonts w:ascii="Helvetica" w:hAnsi="Helvetica" w:cs="Helvetica"/>
        <w:b/>
        <w:color w:val="BDA14E"/>
        <w:sz w:val="16"/>
        <w:szCs w:val="16"/>
      </w:rPr>
      <w:t>Page</w:t>
    </w:r>
    <w:r w:rsidRPr="00B71EEA">
      <w:rPr>
        <w:rFonts w:ascii="Helvetica" w:hAnsi="Helvetica" w:cs="Helvetica"/>
        <w:b/>
        <w:sz w:val="16"/>
        <w:szCs w:val="16"/>
      </w:rPr>
      <w:t xml:space="preserve"> | </w:t>
    </w:r>
    <w:r w:rsidRPr="00B71EEA">
      <w:rPr>
        <w:rFonts w:ascii="Helvetica" w:hAnsi="Helvetica" w:cs="Helvetica"/>
        <w:b/>
        <w:color w:val="BDA14E"/>
        <w:sz w:val="16"/>
        <w:szCs w:val="16"/>
      </w:rPr>
      <w:fldChar w:fldCharType="begin"/>
    </w:r>
    <w:r w:rsidRPr="00B71EEA">
      <w:rPr>
        <w:rFonts w:ascii="Helvetica" w:hAnsi="Helvetica" w:cs="Helvetica"/>
        <w:b/>
        <w:color w:val="BDA14E"/>
        <w:sz w:val="16"/>
        <w:szCs w:val="16"/>
      </w:rPr>
      <w:instrText xml:space="preserve"> PAGE   \* MERGEFORMAT </w:instrText>
    </w:r>
    <w:r w:rsidRPr="00B71EEA">
      <w:rPr>
        <w:rFonts w:ascii="Helvetica" w:hAnsi="Helvetica" w:cs="Helvetica"/>
        <w:b/>
        <w:color w:val="BDA14E"/>
        <w:sz w:val="16"/>
        <w:szCs w:val="16"/>
      </w:rPr>
      <w:fldChar w:fldCharType="separate"/>
    </w:r>
    <w:r w:rsidR="00D657FA">
      <w:rPr>
        <w:rFonts w:ascii="Helvetica" w:hAnsi="Helvetica" w:cs="Helvetica"/>
        <w:b/>
        <w:noProof/>
        <w:color w:val="BDA14E"/>
        <w:sz w:val="16"/>
        <w:szCs w:val="16"/>
      </w:rPr>
      <w:t>1</w:t>
    </w:r>
    <w:r w:rsidRPr="00B71EEA">
      <w:rPr>
        <w:rFonts w:ascii="Helvetica" w:hAnsi="Helvetica" w:cs="Helvetica"/>
        <w:b/>
        <w:noProof/>
        <w:color w:val="BDA14E"/>
        <w:sz w:val="16"/>
        <w:szCs w:val="16"/>
      </w:rPr>
      <w:fldChar w:fldCharType="end"/>
    </w:r>
    <w:r w:rsidRPr="00DC46F1">
      <w:rPr>
        <w:rStyle w:val="PageNumber"/>
        <w:color w:val="AC8F42"/>
        <w:sz w:val="16"/>
        <w:szCs w:val="16"/>
      </w:rPr>
      <w:t xml:space="preserve"> </w:t>
    </w:r>
  </w:p>
  <w:p w:rsidR="00105A80" w:rsidRPr="005B5D83" w:rsidRDefault="003D6BA4" w:rsidP="00DC46F1">
    <w:pPr>
      <w:pStyle w:val="Footer"/>
      <w:ind w:right="360"/>
      <w:jc w:val="right"/>
      <w:rPr>
        <w:rFonts w:ascii="Arial" w:hAnsi="Arial" w:cs="Arial"/>
        <w:i/>
        <w:sz w:val="18"/>
        <w:szCs w:val="18"/>
      </w:rPr>
    </w:pPr>
    <w:r w:rsidRPr="005B5D83">
      <w:rPr>
        <w:rFonts w:ascii="Arial" w:hAnsi="Arial" w:cs="Arial"/>
        <w:i/>
        <w:noProof/>
        <w:sz w:val="18"/>
        <w:szCs w:val="18"/>
        <w:lang w:val="en-AU" w:eastAsia="en-AU"/>
      </w:rPr>
      <w:drawing>
        <wp:anchor distT="0" distB="0" distL="114300" distR="114300" simplePos="0" relativeHeight="251670016" behindDoc="1" locked="0" layoutInCell="1" allowOverlap="1" wp14:anchorId="6A6D1B8F" wp14:editId="76C721E0">
          <wp:simplePos x="0" y="0"/>
          <wp:positionH relativeFrom="page">
            <wp:posOffset>0</wp:posOffset>
          </wp:positionH>
          <wp:positionV relativeFrom="page">
            <wp:posOffset>10075653</wp:posOffset>
          </wp:positionV>
          <wp:extent cx="7559675" cy="598302"/>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2.jpg"/>
                  <pic:cNvPicPr/>
                </pic:nvPicPr>
                <pic:blipFill rotWithShape="1">
                  <a:blip r:embed="rId1">
                    <a:extLst>
                      <a:ext uri="{28A0092B-C50C-407E-A947-70E740481C1C}">
                        <a14:useLocalDpi xmlns:a14="http://schemas.microsoft.com/office/drawing/2010/main" val="0"/>
                      </a:ext>
                    </a:extLst>
                  </a:blip>
                  <a:srcRect t="94403"/>
                  <a:stretch/>
                </pic:blipFill>
                <pic:spPr bwMode="auto">
                  <a:xfrm>
                    <a:off x="0" y="0"/>
                    <a:ext cx="7559675" cy="598302"/>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AB55CC">
      <w:rPr>
        <w:rFonts w:ascii="Arial" w:hAnsi="Arial" w:cs="Arial"/>
        <w:i/>
        <w:sz w:val="18"/>
        <w:szCs w:val="18"/>
      </w:rPr>
      <w:t>Updated October</w:t>
    </w:r>
    <w:r w:rsidR="00B95D4A">
      <w:rPr>
        <w:rFonts w:ascii="Arial" w:hAnsi="Arial" w:cs="Arial"/>
        <w:i/>
        <w:sz w:val="18"/>
        <w:szCs w:val="18"/>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7A7" w:rsidRDefault="009707A7" w:rsidP="002038E6">
      <w:r>
        <w:separator/>
      </w:r>
    </w:p>
  </w:footnote>
  <w:footnote w:type="continuationSeparator" w:id="0">
    <w:p w:rsidR="009707A7" w:rsidRDefault="009707A7" w:rsidP="00203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80" w:rsidRDefault="00BD7FE8">
    <w:pPr>
      <w:pStyle w:val="Header"/>
    </w:pPr>
    <w:r>
      <w:rPr>
        <w:noProof/>
        <w:sz w:val="16"/>
        <w:szCs w:val="16"/>
        <w:lang w:val="en-AU" w:eastAsia="en-AU"/>
      </w:rPr>
      <mc:AlternateContent>
        <mc:Choice Requires="wps">
          <w:drawing>
            <wp:anchor distT="0" distB="0" distL="114300" distR="114300" simplePos="0" relativeHeight="251668480" behindDoc="0" locked="0" layoutInCell="1" allowOverlap="1" wp14:anchorId="2C0C7AD9" wp14:editId="75D19A7D">
              <wp:simplePos x="0" y="0"/>
              <wp:positionH relativeFrom="column">
                <wp:posOffset>1896110</wp:posOffset>
              </wp:positionH>
              <wp:positionV relativeFrom="paragraph">
                <wp:posOffset>-107315</wp:posOffset>
              </wp:positionV>
              <wp:extent cx="4389120" cy="723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389120" cy="723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D7FE8" w:rsidRPr="003D6BA4" w:rsidRDefault="009707A7" w:rsidP="009707A7">
                          <w:pPr>
                            <w:jc w:val="right"/>
                            <w:rPr>
                              <w:b/>
                              <w:sz w:val="36"/>
                              <w:szCs w:val="36"/>
                            </w:rPr>
                          </w:pPr>
                          <w:r>
                            <w:rPr>
                              <w:b/>
                              <w:bCs/>
                              <w:sz w:val="23"/>
                              <w:szCs w:val="23"/>
                            </w:rPr>
                            <w:t>BEL FACULTY NEW STAFF RESEARCH START-UP FUND   GUIDELINES AND INSTRUCTIONS TO APPLICANTS</w:t>
                          </w:r>
                          <w:r w:rsidR="00B95D4A">
                            <w:rPr>
                              <w:b/>
                              <w:bCs/>
                              <w:sz w:val="23"/>
                              <w:szCs w:val="23"/>
                            </w:rPr>
                            <w:t xml:space="preserve"> IN 2016</w:t>
                          </w:r>
                          <w:r>
                            <w:rPr>
                              <w:b/>
                              <w:bCs/>
                              <w:sz w:val="23"/>
                              <w:szCs w:val="23"/>
                            </w:rPr>
                            <w:br/>
                          </w:r>
                          <w:r w:rsidR="00C242F3">
                            <w:rPr>
                              <w:bCs/>
                              <w:sz w:val="22"/>
                              <w:szCs w:val="22"/>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C7AD9" id="_x0000_t202" coordsize="21600,21600" o:spt="202" path="m,l,21600r21600,l21600,xe">
              <v:stroke joinstyle="miter"/>
              <v:path gradientshapeok="t" o:connecttype="rect"/>
            </v:shapetype>
            <v:shape id="Text Box 3" o:spid="_x0000_s1026" type="#_x0000_t202" style="position:absolute;margin-left:149.3pt;margin-top:-8.45pt;width:345.6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" filled="f" stroked="f">
              <v:textbox>
                <w:txbxContent>
                  <w:p w:rsidR="00BD7FE8" w:rsidRPr="003D6BA4" w:rsidRDefault="009707A7" w:rsidP="009707A7">
                    <w:pPr>
                      <w:jc w:val="right"/>
                      <w:rPr>
                        <w:b/>
                        <w:sz w:val="36"/>
                        <w:szCs w:val="36"/>
                      </w:rPr>
                    </w:pPr>
                    <w:r>
                      <w:rPr>
                        <w:b/>
                        <w:bCs/>
                        <w:sz w:val="23"/>
                        <w:szCs w:val="23"/>
                      </w:rPr>
                      <w:t>BEL FACULTY NEW STAFF RESEARCH START-UP FUND   GUIDELINES AND INSTRUCTIONS TO APPLICANTS</w:t>
                    </w:r>
                    <w:r w:rsidR="00B95D4A">
                      <w:rPr>
                        <w:b/>
                        <w:bCs/>
                        <w:sz w:val="23"/>
                        <w:szCs w:val="23"/>
                      </w:rPr>
                      <w:t xml:space="preserve"> IN 2016</w:t>
                    </w:r>
                    <w:r>
                      <w:rPr>
                        <w:b/>
                        <w:bCs/>
                        <w:sz w:val="23"/>
                        <w:szCs w:val="23"/>
                      </w:rPr>
                      <w:br/>
                    </w:r>
                    <w:r w:rsidR="00C242F3">
                      <w:rPr>
                        <w:bCs/>
                        <w:sz w:val="22"/>
                        <w:szCs w:val="22"/>
                      </w:rPr>
                      <w:br/>
                    </w:r>
                  </w:p>
                </w:txbxContent>
              </v:textbox>
              <w10:wrap type="square"/>
            </v:shape>
          </w:pict>
        </mc:Fallback>
      </mc:AlternateContent>
    </w:r>
    <w:r w:rsidR="003D6BA4">
      <w:rPr>
        <w:noProof/>
        <w:lang w:val="en-AU" w:eastAsia="en-AU"/>
      </w:rPr>
      <w:drawing>
        <wp:anchor distT="0" distB="0" distL="114300" distR="114300" simplePos="0" relativeHeight="251658240" behindDoc="1" locked="0" layoutInCell="1" allowOverlap="1" wp14:anchorId="0520AE71" wp14:editId="51D0D049">
          <wp:simplePos x="0" y="0"/>
          <wp:positionH relativeFrom="page">
            <wp:posOffset>1258</wp:posOffset>
          </wp:positionH>
          <wp:positionV relativeFrom="page">
            <wp:posOffset>371</wp:posOffset>
          </wp:positionV>
          <wp:extent cx="7559675" cy="1379855"/>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2.jpg"/>
                  <pic:cNvPicPr/>
                </pic:nvPicPr>
                <pic:blipFill rotWithShape="1">
                  <a:blip r:embed="rId1">
                    <a:extLst>
                      <a:ext uri="{28A0092B-C50C-407E-A947-70E740481C1C}">
                        <a14:useLocalDpi xmlns:a14="http://schemas.microsoft.com/office/drawing/2010/main" val="0"/>
                      </a:ext>
                    </a:extLst>
                  </a:blip>
                  <a:srcRect b="87092"/>
                  <a:stretch/>
                </pic:blipFill>
                <pic:spPr bwMode="auto">
                  <a:xfrm>
                    <a:off x="0" y="0"/>
                    <a:ext cx="7559675" cy="137985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1A3"/>
    <w:multiLevelType w:val="hybridMultilevel"/>
    <w:tmpl w:val="E80E0A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46342C"/>
    <w:multiLevelType w:val="multilevel"/>
    <w:tmpl w:val="A1CA3C96"/>
    <w:styleLink w:val="GoldBullet"/>
    <w:lvl w:ilvl="0">
      <w:start w:val="1"/>
      <w:numFmt w:val="bullet"/>
      <w:pStyle w:val="4UQBELBulletPoint"/>
      <w:lvlText w:val=""/>
      <w:lvlJc w:val="left"/>
      <w:pPr>
        <w:ind w:left="720" w:hanging="360"/>
      </w:pPr>
      <w:rPr>
        <w:rFonts w:ascii="Symbol" w:hAnsi="Symbol" w:hint="default"/>
        <w:color w:val="AF913D"/>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EA5986"/>
    <w:multiLevelType w:val="hybridMultilevel"/>
    <w:tmpl w:val="9E046F5A"/>
    <w:lvl w:ilvl="0" w:tplc="3CFAC5D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3C23BE"/>
    <w:multiLevelType w:val="hybridMultilevel"/>
    <w:tmpl w:val="D7F464A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80E4916"/>
    <w:multiLevelType w:val="multilevel"/>
    <w:tmpl w:val="A1CA3C96"/>
    <w:numStyleLink w:val="GoldBullet"/>
  </w:abstractNum>
  <w:abstractNum w:abstractNumId="5" w15:restartNumberingAfterBreak="0">
    <w:nsid w:val="58C84181"/>
    <w:multiLevelType w:val="hybridMultilevel"/>
    <w:tmpl w:val="41467C1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28224C5"/>
    <w:multiLevelType w:val="hybridMultilevel"/>
    <w:tmpl w:val="055CD5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7A074D6"/>
    <w:multiLevelType w:val="hybridMultilevel"/>
    <w:tmpl w:val="16C27DD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A7"/>
    <w:rsid w:val="000455AB"/>
    <w:rsid w:val="000A3567"/>
    <w:rsid w:val="00105A80"/>
    <w:rsid w:val="00182ECE"/>
    <w:rsid w:val="002038E6"/>
    <w:rsid w:val="00360A9D"/>
    <w:rsid w:val="003D6BA4"/>
    <w:rsid w:val="00457464"/>
    <w:rsid w:val="004770C3"/>
    <w:rsid w:val="005839D0"/>
    <w:rsid w:val="005B107D"/>
    <w:rsid w:val="005B5D83"/>
    <w:rsid w:val="006C598E"/>
    <w:rsid w:val="00761673"/>
    <w:rsid w:val="00894A9A"/>
    <w:rsid w:val="009707A7"/>
    <w:rsid w:val="00AB55CC"/>
    <w:rsid w:val="00B95D4A"/>
    <w:rsid w:val="00BD7FE8"/>
    <w:rsid w:val="00C242F3"/>
    <w:rsid w:val="00CC7346"/>
    <w:rsid w:val="00D46DEC"/>
    <w:rsid w:val="00D657FA"/>
    <w:rsid w:val="00D87280"/>
    <w:rsid w:val="00DC46F1"/>
    <w:rsid w:val="00DC750E"/>
    <w:rsid w:val="00E47EF0"/>
    <w:rsid w:val="00F3668F"/>
    <w:rsid w:val="00F52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15:docId w15:val="{92176E28-BA69-4E05-8492-8F9936E5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55 Roman" w:eastAsiaTheme="minorEastAsia" w:hAnsi="Helvetica 55 Roman" w:cs="MinionPro-Regular"/>
        <w:color w:val="000000"/>
        <w:sz w:val="48"/>
        <w:szCs w:val="4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8E6"/>
    <w:pPr>
      <w:tabs>
        <w:tab w:val="center" w:pos="4320"/>
        <w:tab w:val="right" w:pos="8640"/>
      </w:tabs>
    </w:pPr>
  </w:style>
  <w:style w:type="character" w:customStyle="1" w:styleId="HeaderChar">
    <w:name w:val="Header Char"/>
    <w:basedOn w:val="DefaultParagraphFont"/>
    <w:link w:val="Header"/>
    <w:uiPriority w:val="99"/>
    <w:rsid w:val="002038E6"/>
  </w:style>
  <w:style w:type="paragraph" w:styleId="Footer">
    <w:name w:val="footer"/>
    <w:basedOn w:val="Normal"/>
    <w:link w:val="FooterChar"/>
    <w:uiPriority w:val="99"/>
    <w:unhideWhenUsed/>
    <w:rsid w:val="002038E6"/>
    <w:pPr>
      <w:tabs>
        <w:tab w:val="center" w:pos="4320"/>
        <w:tab w:val="right" w:pos="8640"/>
      </w:tabs>
    </w:pPr>
  </w:style>
  <w:style w:type="character" w:customStyle="1" w:styleId="FooterChar">
    <w:name w:val="Footer Char"/>
    <w:basedOn w:val="DefaultParagraphFont"/>
    <w:link w:val="Footer"/>
    <w:uiPriority w:val="99"/>
    <w:rsid w:val="002038E6"/>
  </w:style>
  <w:style w:type="paragraph" w:styleId="BalloonText">
    <w:name w:val="Balloon Text"/>
    <w:basedOn w:val="Normal"/>
    <w:link w:val="BalloonTextChar"/>
    <w:uiPriority w:val="99"/>
    <w:semiHidden/>
    <w:unhideWhenUsed/>
    <w:rsid w:val="002038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8E6"/>
    <w:rPr>
      <w:rFonts w:ascii="Lucida Grande" w:hAnsi="Lucida Grande" w:cs="Lucida Grande"/>
      <w:sz w:val="18"/>
      <w:szCs w:val="18"/>
    </w:rPr>
  </w:style>
  <w:style w:type="character" w:styleId="PageNumber">
    <w:name w:val="page number"/>
    <w:basedOn w:val="DefaultParagraphFont"/>
    <w:uiPriority w:val="99"/>
    <w:semiHidden/>
    <w:unhideWhenUsed/>
    <w:rsid w:val="00DC46F1"/>
  </w:style>
  <w:style w:type="paragraph" w:customStyle="1" w:styleId="3UQBELBodyText">
    <w:name w:val="3_UQBEL_Body_Text"/>
    <w:basedOn w:val="Normal"/>
    <w:qFormat/>
    <w:rsid w:val="005839D0"/>
    <w:pPr>
      <w:widowControl w:val="0"/>
      <w:autoSpaceDE w:val="0"/>
      <w:autoSpaceDN w:val="0"/>
      <w:adjustRightInd w:val="0"/>
      <w:spacing w:after="120" w:line="288" w:lineRule="auto"/>
      <w:ind w:right="-2160"/>
    </w:pPr>
    <w:rPr>
      <w:rFonts w:ascii="Helvetica" w:hAnsi="Helvetica" w:cs="Minion Pro"/>
      <w:color w:val="auto"/>
      <w:sz w:val="16"/>
      <w:szCs w:val="24"/>
    </w:rPr>
  </w:style>
  <w:style w:type="numbering" w:customStyle="1" w:styleId="GoldBullet">
    <w:name w:val="Gold Bullet"/>
    <w:rsid w:val="005839D0"/>
    <w:pPr>
      <w:numPr>
        <w:numId w:val="1"/>
      </w:numPr>
    </w:pPr>
  </w:style>
  <w:style w:type="paragraph" w:customStyle="1" w:styleId="2UQBELSubHeading">
    <w:name w:val="2_UQBEL_SubHeading"/>
    <w:basedOn w:val="Normal"/>
    <w:qFormat/>
    <w:rsid w:val="005839D0"/>
    <w:pPr>
      <w:spacing w:before="240" w:after="120"/>
    </w:pPr>
    <w:rPr>
      <w:rFonts w:ascii="Helvetica" w:hAnsi="Helvetica"/>
      <w:b/>
      <w:sz w:val="20"/>
      <w:szCs w:val="16"/>
    </w:rPr>
  </w:style>
  <w:style w:type="paragraph" w:customStyle="1" w:styleId="4UQBELBulletPoint">
    <w:name w:val="4_UQBEL_Bullet_Point"/>
    <w:basedOn w:val="ListParagraph"/>
    <w:qFormat/>
    <w:rsid w:val="005839D0"/>
    <w:pPr>
      <w:numPr>
        <w:numId w:val="2"/>
      </w:numPr>
      <w:tabs>
        <w:tab w:val="num" w:pos="360"/>
      </w:tabs>
      <w:spacing w:after="120"/>
      <w:ind w:left="714" w:hanging="357"/>
      <w:contextualSpacing w:val="0"/>
    </w:pPr>
    <w:rPr>
      <w:rFonts w:ascii="Helvetica" w:hAnsi="Helvetica" w:cs="Minion Pro"/>
      <w:color w:val="auto"/>
      <w:sz w:val="16"/>
      <w:szCs w:val="24"/>
    </w:rPr>
  </w:style>
  <w:style w:type="paragraph" w:customStyle="1" w:styleId="5UQBELHyperlink">
    <w:name w:val="5_UQBEL_Hyperlink"/>
    <w:basedOn w:val="3UQBELBodyText"/>
    <w:qFormat/>
    <w:rsid w:val="005839D0"/>
    <w:rPr>
      <w:i/>
      <w:color w:val="AF913D" w:themeColor="text2"/>
    </w:rPr>
  </w:style>
  <w:style w:type="paragraph" w:styleId="ListParagraph">
    <w:name w:val="List Paragraph"/>
    <w:basedOn w:val="Normal"/>
    <w:uiPriority w:val="34"/>
    <w:qFormat/>
    <w:rsid w:val="005839D0"/>
    <w:pPr>
      <w:ind w:left="720"/>
      <w:contextualSpacing/>
    </w:pPr>
  </w:style>
  <w:style w:type="character" w:styleId="Hyperlink">
    <w:name w:val="Hyperlink"/>
    <w:basedOn w:val="DefaultParagraphFont"/>
    <w:uiPriority w:val="99"/>
    <w:unhideWhenUsed/>
    <w:rsid w:val="003D6BA4"/>
    <w:rPr>
      <w:color w:val="818386" w:themeColor="hyperlink"/>
      <w:u w:val="single"/>
    </w:rPr>
  </w:style>
  <w:style w:type="table" w:customStyle="1" w:styleId="GridTable1Light-Accent31">
    <w:name w:val="Grid Table 1 Light - Accent 31"/>
    <w:basedOn w:val="TableNormal"/>
    <w:uiPriority w:val="46"/>
    <w:rsid w:val="003D6BA4"/>
    <w:tblPr>
      <w:tblStyleRowBandSize w:val="1"/>
      <w:tblStyleColBandSize w:val="1"/>
      <w:tblBorders>
        <w:top w:val="single" w:sz="4" w:space="0" w:color="E0D5BA" w:themeColor="accent3" w:themeTint="66"/>
        <w:left w:val="single" w:sz="4" w:space="0" w:color="E0D5BA" w:themeColor="accent3" w:themeTint="66"/>
        <w:bottom w:val="single" w:sz="4" w:space="0" w:color="E0D5BA" w:themeColor="accent3" w:themeTint="66"/>
        <w:right w:val="single" w:sz="4" w:space="0" w:color="E0D5BA" w:themeColor="accent3" w:themeTint="66"/>
        <w:insideH w:val="single" w:sz="4" w:space="0" w:color="E0D5BA" w:themeColor="accent3" w:themeTint="66"/>
        <w:insideV w:val="single" w:sz="4" w:space="0" w:color="E0D5BA" w:themeColor="accent3" w:themeTint="66"/>
      </w:tblBorders>
    </w:tblPr>
    <w:tblStylePr w:type="firstRow">
      <w:rPr>
        <w:b/>
        <w:bCs/>
      </w:rPr>
      <w:tblPr/>
      <w:tcPr>
        <w:tcBorders>
          <w:bottom w:val="single" w:sz="12" w:space="0" w:color="D1C198" w:themeColor="accent3" w:themeTint="99"/>
        </w:tcBorders>
      </w:tcPr>
    </w:tblStylePr>
    <w:tblStylePr w:type="lastRow">
      <w:rPr>
        <w:b/>
        <w:bCs/>
      </w:rPr>
      <w:tblPr/>
      <w:tcPr>
        <w:tcBorders>
          <w:top w:val="double" w:sz="2" w:space="0" w:color="D1C198" w:themeColor="accent3" w:themeTint="99"/>
        </w:tcBorders>
      </w:tcPr>
    </w:tblStylePr>
    <w:tblStylePr w:type="firstCol">
      <w:rPr>
        <w:b/>
        <w:bCs/>
      </w:rPr>
    </w:tblStylePr>
    <w:tblStylePr w:type="lastCol">
      <w:rPr>
        <w:b/>
        <w:bCs/>
      </w:rPr>
    </w:tblStylePr>
  </w:style>
  <w:style w:type="paragraph" w:customStyle="1" w:styleId="Default">
    <w:name w:val="Default"/>
    <w:rsid w:val="009707A7"/>
    <w:pPr>
      <w:autoSpaceDE w:val="0"/>
      <w:autoSpaceDN w:val="0"/>
      <w:adjustRightInd w:val="0"/>
    </w:pPr>
    <w:rPr>
      <w:rFonts w:ascii="Calibri" w:hAnsi="Calibri" w:cs="Calibri"/>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bel.uq.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BEL-FacultyOffice\General\BEL%20Templates\BEL%20Word%20Template%20-%20Portrait.dotx" TargetMode="External"/></Relationships>
</file>

<file path=word/theme/theme1.xml><?xml version="1.0" encoding="utf-8"?>
<a:theme xmlns:a="http://schemas.openxmlformats.org/drawingml/2006/main" name="UQBEL">
  <a:themeElements>
    <a:clrScheme name="UQBEL 2">
      <a:dk1>
        <a:sysClr val="windowText" lastClr="000000"/>
      </a:dk1>
      <a:lt1>
        <a:sysClr val="window" lastClr="FFFFFF"/>
      </a:lt1>
      <a:dk2>
        <a:srgbClr val="AF913D"/>
      </a:dk2>
      <a:lt2>
        <a:srgbClr val="FFFFFF"/>
      </a:lt2>
      <a:accent1>
        <a:srgbClr val="000000"/>
      </a:accent1>
      <a:accent2>
        <a:srgbClr val="FFFFFF"/>
      </a:accent2>
      <a:accent3>
        <a:srgbClr val="B39855"/>
      </a:accent3>
      <a:accent4>
        <a:srgbClr val="C9B480"/>
      </a:accent4>
      <a:accent5>
        <a:srgbClr val="E2D7B8"/>
      </a:accent5>
      <a:accent6>
        <a:srgbClr val="505153"/>
      </a:accent6>
      <a:hlink>
        <a:srgbClr val="818386"/>
      </a:hlink>
      <a:folHlink>
        <a:srgbClr val="BBBCB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8EF6-6556-41FD-86A8-11914A34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BEL Word Template - Portrait</Template>
  <TotalTime>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Bright Yellow</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Martin</dc:creator>
  <cp:lastModifiedBy>Andrea Martin</cp:lastModifiedBy>
  <cp:revision>3</cp:revision>
  <cp:lastPrinted>2014-10-13T22:51:00Z</cp:lastPrinted>
  <dcterms:created xsi:type="dcterms:W3CDTF">2016-10-19T04:08:00Z</dcterms:created>
  <dcterms:modified xsi:type="dcterms:W3CDTF">2016-10-19T04:10:00Z</dcterms:modified>
</cp:coreProperties>
</file>